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2917" w:rsidRPr="00244A97" w:rsidRDefault="00423363" w:rsidP="003A406D">
      <w:pPr>
        <w:pStyle w:val="Default"/>
        <w:spacing w:line="312" w:lineRule="auto"/>
        <w:jc w:val="center"/>
        <w:rPr>
          <w:b/>
          <w:bCs/>
          <w:sz w:val="26"/>
          <w:szCs w:val="26"/>
        </w:rPr>
      </w:pPr>
      <w:r w:rsidRPr="00392917">
        <w:rPr>
          <w:b/>
          <w:bCs/>
          <w:sz w:val="26"/>
          <w:szCs w:val="26"/>
        </w:rPr>
        <w:t>THÔNG TIN TÓM TẮT VỀ CÁC KẾT LUẬN MỚI CỦA LUẬN ÁN</w:t>
      </w:r>
    </w:p>
    <w:p w:rsidR="00423363" w:rsidRPr="00392917" w:rsidRDefault="00423363" w:rsidP="003A406D">
      <w:pPr>
        <w:pStyle w:val="Default"/>
        <w:spacing w:line="312" w:lineRule="auto"/>
        <w:jc w:val="both"/>
        <w:rPr>
          <w:sz w:val="26"/>
          <w:szCs w:val="26"/>
        </w:rPr>
      </w:pPr>
      <w:r w:rsidRPr="00392917">
        <w:rPr>
          <w:b/>
          <w:bCs/>
          <w:sz w:val="26"/>
          <w:szCs w:val="26"/>
        </w:rPr>
        <w:t xml:space="preserve">1. Đề tài luận án: </w:t>
      </w:r>
      <w:r w:rsidRPr="00392917">
        <w:rPr>
          <w:b/>
          <w:bCs/>
          <w:i/>
          <w:iCs/>
          <w:sz w:val="26"/>
          <w:szCs w:val="26"/>
        </w:rPr>
        <w:t>“</w:t>
      </w:r>
      <w:r w:rsidR="00C90155">
        <w:rPr>
          <w:b/>
          <w:bCs/>
          <w:i/>
          <w:iCs/>
          <w:sz w:val="26"/>
          <w:szCs w:val="26"/>
        </w:rPr>
        <w:t>Hoàn thiện tổ chức công tác kiểm toán Báo cáo tài chính Doanh nghiệp xây dựng do các công ty kiểm toán nhỏ và vừa Việt Nam thực hiện</w:t>
      </w:r>
      <w:r w:rsidRPr="00392917">
        <w:rPr>
          <w:b/>
          <w:bCs/>
          <w:i/>
          <w:iCs/>
          <w:sz w:val="26"/>
          <w:szCs w:val="26"/>
        </w:rPr>
        <w:t xml:space="preserve">” </w:t>
      </w:r>
    </w:p>
    <w:p w:rsidR="00423363" w:rsidRPr="00392917" w:rsidRDefault="00423363" w:rsidP="003A406D">
      <w:pPr>
        <w:pStyle w:val="Default"/>
        <w:spacing w:line="312" w:lineRule="auto"/>
        <w:jc w:val="both"/>
        <w:rPr>
          <w:sz w:val="26"/>
          <w:szCs w:val="26"/>
        </w:rPr>
      </w:pPr>
      <w:r w:rsidRPr="00392917">
        <w:rPr>
          <w:b/>
          <w:bCs/>
          <w:sz w:val="26"/>
          <w:szCs w:val="26"/>
        </w:rPr>
        <w:t xml:space="preserve">2. Chuyên ngành: Kế toán </w:t>
      </w:r>
      <w:r w:rsidR="00A33E98">
        <w:rPr>
          <w:b/>
          <w:bCs/>
          <w:sz w:val="26"/>
          <w:szCs w:val="26"/>
        </w:rPr>
        <w:tab/>
      </w:r>
      <w:r w:rsidR="00A33E98">
        <w:rPr>
          <w:b/>
          <w:bCs/>
          <w:sz w:val="26"/>
          <w:szCs w:val="26"/>
        </w:rPr>
        <w:tab/>
      </w:r>
      <w:r w:rsidR="00A33E98">
        <w:rPr>
          <w:b/>
          <w:bCs/>
          <w:sz w:val="26"/>
          <w:szCs w:val="26"/>
        </w:rPr>
        <w:tab/>
      </w:r>
      <w:r w:rsidR="00A33E98">
        <w:rPr>
          <w:b/>
          <w:bCs/>
          <w:sz w:val="26"/>
          <w:szCs w:val="26"/>
        </w:rPr>
        <w:tab/>
      </w:r>
      <w:r w:rsidR="00A33E98">
        <w:rPr>
          <w:b/>
          <w:bCs/>
          <w:sz w:val="26"/>
          <w:szCs w:val="26"/>
        </w:rPr>
        <w:tab/>
      </w:r>
      <w:r w:rsidRPr="00392917">
        <w:rPr>
          <w:b/>
          <w:bCs/>
          <w:sz w:val="26"/>
          <w:szCs w:val="26"/>
        </w:rPr>
        <w:t xml:space="preserve">Mã số: 62.34.03.01 </w:t>
      </w:r>
    </w:p>
    <w:p w:rsidR="00423363" w:rsidRPr="00392917" w:rsidRDefault="00423363" w:rsidP="003A406D">
      <w:pPr>
        <w:pStyle w:val="Default"/>
        <w:spacing w:line="312" w:lineRule="auto"/>
        <w:jc w:val="both"/>
        <w:rPr>
          <w:sz w:val="26"/>
          <w:szCs w:val="26"/>
        </w:rPr>
      </w:pPr>
      <w:r w:rsidRPr="00392917">
        <w:rPr>
          <w:b/>
          <w:bCs/>
          <w:sz w:val="26"/>
          <w:szCs w:val="26"/>
        </w:rPr>
        <w:t>3. Họ và tên nghiên cứ</w:t>
      </w:r>
      <w:r w:rsidR="00A66182">
        <w:rPr>
          <w:b/>
          <w:bCs/>
          <w:sz w:val="26"/>
          <w:szCs w:val="26"/>
        </w:rPr>
        <w:t>u sinh: Nguyễ</w:t>
      </w:r>
      <w:r w:rsidR="00C90155">
        <w:rPr>
          <w:b/>
          <w:bCs/>
          <w:sz w:val="26"/>
          <w:szCs w:val="26"/>
        </w:rPr>
        <w:t>n Thị Thanh Phương</w:t>
      </w:r>
    </w:p>
    <w:p w:rsidR="00423363" w:rsidRPr="00392917" w:rsidRDefault="00423363" w:rsidP="003A406D">
      <w:pPr>
        <w:pStyle w:val="Default"/>
        <w:spacing w:line="312" w:lineRule="auto"/>
        <w:jc w:val="both"/>
        <w:rPr>
          <w:sz w:val="26"/>
          <w:szCs w:val="26"/>
        </w:rPr>
      </w:pPr>
      <w:r w:rsidRPr="00392917">
        <w:rPr>
          <w:b/>
          <w:bCs/>
          <w:sz w:val="26"/>
          <w:szCs w:val="26"/>
        </w:rPr>
        <w:t xml:space="preserve">4. Họ và tên cán bộ hướng dẫn khoa học: </w:t>
      </w:r>
    </w:p>
    <w:p w:rsidR="00423363" w:rsidRPr="00392917" w:rsidRDefault="00423363" w:rsidP="003A406D">
      <w:pPr>
        <w:pStyle w:val="Default"/>
        <w:spacing w:line="312" w:lineRule="auto"/>
        <w:ind w:firstLine="720"/>
        <w:jc w:val="both"/>
        <w:rPr>
          <w:sz w:val="26"/>
          <w:szCs w:val="26"/>
        </w:rPr>
      </w:pPr>
      <w:r w:rsidRPr="00392917">
        <w:rPr>
          <w:b/>
          <w:bCs/>
          <w:sz w:val="26"/>
          <w:szCs w:val="26"/>
        </w:rPr>
        <w:t xml:space="preserve">1. </w:t>
      </w:r>
      <w:r w:rsidR="00C90155">
        <w:rPr>
          <w:b/>
          <w:bCs/>
          <w:sz w:val="26"/>
          <w:szCs w:val="26"/>
        </w:rPr>
        <w:t>PGS.TS. Thịnh Văn Vinh</w:t>
      </w:r>
    </w:p>
    <w:p w:rsidR="00423363" w:rsidRPr="00392917" w:rsidRDefault="00423363" w:rsidP="003A406D">
      <w:pPr>
        <w:pStyle w:val="Default"/>
        <w:spacing w:line="312" w:lineRule="auto"/>
        <w:ind w:firstLine="720"/>
        <w:jc w:val="both"/>
        <w:rPr>
          <w:sz w:val="26"/>
          <w:szCs w:val="26"/>
        </w:rPr>
      </w:pPr>
      <w:r w:rsidRPr="00392917">
        <w:rPr>
          <w:b/>
          <w:bCs/>
          <w:sz w:val="26"/>
          <w:szCs w:val="26"/>
        </w:rPr>
        <w:t xml:space="preserve">2. </w:t>
      </w:r>
      <w:r w:rsidR="00C90155">
        <w:rPr>
          <w:b/>
          <w:bCs/>
          <w:sz w:val="26"/>
          <w:szCs w:val="26"/>
        </w:rPr>
        <w:t>PGS.TS. Nguyễn Thị Phương Hoa</w:t>
      </w:r>
    </w:p>
    <w:p w:rsidR="00423363" w:rsidRPr="00392917" w:rsidRDefault="00423363" w:rsidP="003A406D">
      <w:pPr>
        <w:pStyle w:val="Default"/>
        <w:spacing w:line="312" w:lineRule="auto"/>
        <w:jc w:val="both"/>
        <w:rPr>
          <w:sz w:val="26"/>
          <w:szCs w:val="26"/>
        </w:rPr>
      </w:pPr>
      <w:r w:rsidRPr="00392917">
        <w:rPr>
          <w:b/>
          <w:bCs/>
          <w:sz w:val="26"/>
          <w:szCs w:val="26"/>
        </w:rPr>
        <w:t xml:space="preserve">5. Những kết luận mới của luận án: </w:t>
      </w:r>
    </w:p>
    <w:p w:rsidR="00217EEE" w:rsidRDefault="00217EEE" w:rsidP="003A406D">
      <w:pPr>
        <w:pStyle w:val="Default"/>
        <w:spacing w:line="312" w:lineRule="auto"/>
        <w:jc w:val="both"/>
        <w:rPr>
          <w:b/>
          <w:bCs/>
          <w:sz w:val="26"/>
          <w:szCs w:val="26"/>
        </w:rPr>
      </w:pPr>
      <w:r>
        <w:rPr>
          <w:b/>
          <w:bCs/>
          <w:i/>
          <w:iCs/>
          <w:sz w:val="26"/>
          <w:szCs w:val="26"/>
        </w:rPr>
        <w:t xml:space="preserve">5.1. </w:t>
      </w:r>
      <w:r w:rsidR="00423363" w:rsidRPr="00392917">
        <w:rPr>
          <w:b/>
          <w:bCs/>
          <w:i/>
          <w:iCs/>
          <w:sz w:val="26"/>
          <w:szCs w:val="26"/>
        </w:rPr>
        <w:t>Những đóng góp mới về mặt học thuật, lý luận</w:t>
      </w:r>
      <w:r w:rsidR="00423363" w:rsidRPr="00392917">
        <w:rPr>
          <w:b/>
          <w:bCs/>
          <w:sz w:val="26"/>
          <w:szCs w:val="26"/>
        </w:rPr>
        <w:t xml:space="preserve">: </w:t>
      </w:r>
    </w:p>
    <w:p w:rsidR="00244A97" w:rsidRDefault="00217EEE" w:rsidP="003A406D">
      <w:pPr>
        <w:pStyle w:val="Default"/>
        <w:spacing w:line="312" w:lineRule="auto"/>
        <w:ind w:firstLine="567"/>
        <w:jc w:val="both"/>
        <w:rPr>
          <w:bCs/>
          <w:i/>
          <w:sz w:val="26"/>
          <w:szCs w:val="26"/>
        </w:rPr>
      </w:pPr>
      <w:r>
        <w:rPr>
          <w:b/>
          <w:bCs/>
          <w:sz w:val="26"/>
          <w:szCs w:val="26"/>
        </w:rPr>
        <w:t xml:space="preserve">+ </w:t>
      </w:r>
      <w:r>
        <w:rPr>
          <w:bCs/>
          <w:i/>
          <w:sz w:val="26"/>
          <w:szCs w:val="26"/>
        </w:rPr>
        <w:t xml:space="preserve">Về lý luận: </w:t>
      </w:r>
    </w:p>
    <w:p w:rsidR="00217EEE" w:rsidRDefault="00A33E98" w:rsidP="003A406D">
      <w:pPr>
        <w:pStyle w:val="Default"/>
        <w:spacing w:line="312" w:lineRule="auto"/>
        <w:ind w:firstLine="567"/>
        <w:jc w:val="both"/>
        <w:rPr>
          <w:rFonts w:eastAsia="Calibri"/>
          <w:sz w:val="26"/>
          <w:szCs w:val="26"/>
        </w:rPr>
      </w:pPr>
      <w:r w:rsidRPr="00EF50BF">
        <w:rPr>
          <w:rFonts w:eastAsia="Calibri"/>
          <w:sz w:val="26"/>
          <w:szCs w:val="26"/>
        </w:rPr>
        <w:t>Luận án đã khái quát hóa</w:t>
      </w:r>
      <w:r w:rsidR="00D86939">
        <w:rPr>
          <w:rFonts w:eastAsia="Calibri"/>
          <w:sz w:val="26"/>
          <w:szCs w:val="26"/>
        </w:rPr>
        <w:t xml:space="preserve"> và làm rõ những vấn đề</w:t>
      </w:r>
      <w:r w:rsidRPr="00EF50BF">
        <w:rPr>
          <w:rFonts w:eastAsia="Calibri"/>
          <w:sz w:val="26"/>
          <w:szCs w:val="26"/>
        </w:rPr>
        <w:t xml:space="preserve"> lý luậ</w:t>
      </w:r>
      <w:r>
        <w:rPr>
          <w:rFonts w:eastAsia="Calibri"/>
          <w:sz w:val="26"/>
          <w:szCs w:val="26"/>
        </w:rPr>
        <w:t xml:space="preserve">n chung về </w:t>
      </w:r>
      <w:r w:rsidR="00C90155">
        <w:rPr>
          <w:rFonts w:eastAsia="Calibri"/>
          <w:sz w:val="26"/>
          <w:szCs w:val="26"/>
        </w:rPr>
        <w:t xml:space="preserve">tổ chức công tác kiểm toán </w:t>
      </w:r>
      <w:r w:rsidR="00217EEE">
        <w:rPr>
          <w:rFonts w:eastAsia="Calibri"/>
          <w:sz w:val="26"/>
          <w:szCs w:val="26"/>
        </w:rPr>
        <w:t xml:space="preserve">và tổ chức công tác kiểm toán </w:t>
      </w:r>
      <w:r w:rsidR="00C90155">
        <w:rPr>
          <w:rFonts w:eastAsia="Calibri"/>
          <w:sz w:val="26"/>
          <w:szCs w:val="26"/>
        </w:rPr>
        <w:t>Báo cáo tài chính</w:t>
      </w:r>
      <w:r w:rsidR="00327BE6">
        <w:rPr>
          <w:sz w:val="26"/>
          <w:szCs w:val="26"/>
        </w:rPr>
        <w:t xml:space="preserve"> (</w:t>
      </w:r>
      <w:r w:rsidR="00C90155">
        <w:rPr>
          <w:rFonts w:eastAsia="Calibri"/>
          <w:sz w:val="26"/>
          <w:szCs w:val="26"/>
        </w:rPr>
        <w:t>BCTC</w:t>
      </w:r>
      <w:r w:rsidR="00327BE6">
        <w:rPr>
          <w:sz w:val="26"/>
          <w:szCs w:val="26"/>
        </w:rPr>
        <w:t>)</w:t>
      </w:r>
      <w:r>
        <w:rPr>
          <w:rFonts w:eastAsia="Calibri"/>
          <w:sz w:val="26"/>
          <w:szCs w:val="26"/>
        </w:rPr>
        <w:t xml:space="preserve"> </w:t>
      </w:r>
      <w:r w:rsidR="00217EEE">
        <w:rPr>
          <w:rFonts w:eastAsia="Calibri"/>
          <w:sz w:val="26"/>
          <w:szCs w:val="26"/>
        </w:rPr>
        <w:t>do kiểm toán độc lập (KTĐL) thực hiện</w:t>
      </w:r>
      <w:r w:rsidRPr="00EF50BF">
        <w:rPr>
          <w:rFonts w:eastAsia="Calibri"/>
          <w:sz w:val="26"/>
          <w:szCs w:val="26"/>
        </w:rPr>
        <w:t xml:space="preserve">, </w:t>
      </w:r>
      <w:r w:rsidR="00217EEE">
        <w:rPr>
          <w:rFonts w:eastAsia="Calibri"/>
          <w:sz w:val="26"/>
          <w:szCs w:val="26"/>
        </w:rPr>
        <w:t>cụ thể:</w:t>
      </w:r>
    </w:p>
    <w:p w:rsidR="00244A97" w:rsidRDefault="00217EEE" w:rsidP="003A406D">
      <w:pPr>
        <w:pStyle w:val="Default"/>
        <w:spacing w:line="312" w:lineRule="auto"/>
        <w:ind w:firstLine="567"/>
        <w:jc w:val="both"/>
        <w:rPr>
          <w:rFonts w:eastAsia="Calibri"/>
          <w:sz w:val="26"/>
          <w:szCs w:val="26"/>
        </w:rPr>
      </w:pPr>
      <w:r>
        <w:rPr>
          <w:rFonts w:eastAsia="Calibri"/>
          <w:sz w:val="26"/>
          <w:szCs w:val="26"/>
        </w:rPr>
        <w:t xml:space="preserve">- Luận án </w:t>
      </w:r>
      <w:r w:rsidR="002759DE">
        <w:rPr>
          <w:rFonts w:eastAsia="Calibri"/>
          <w:sz w:val="26"/>
          <w:szCs w:val="26"/>
        </w:rPr>
        <w:t>đã hệ thống hóa và làm rõ các quan điểm về</w:t>
      </w:r>
      <w:r>
        <w:rPr>
          <w:rFonts w:eastAsia="Calibri"/>
          <w:sz w:val="26"/>
          <w:szCs w:val="26"/>
        </w:rPr>
        <w:t xml:space="preserve"> tổ chức công tác kiểm toán BCTC do KTĐL thực hiện</w:t>
      </w:r>
      <w:r w:rsidR="002759DE">
        <w:rPr>
          <w:rFonts w:eastAsia="Calibri"/>
          <w:sz w:val="26"/>
          <w:szCs w:val="26"/>
        </w:rPr>
        <w:t xml:space="preserve">, </w:t>
      </w:r>
      <w:r w:rsidR="00244A97">
        <w:rPr>
          <w:rFonts w:eastAsia="Calibri"/>
          <w:sz w:val="26"/>
          <w:szCs w:val="26"/>
        </w:rPr>
        <w:t>đồng thời khái quát hóa khái niệm tổ chức công tác kiểm toán BCTC do KTĐL thực hiện</w:t>
      </w:r>
    </w:p>
    <w:p w:rsidR="002759DE" w:rsidRDefault="00244A97" w:rsidP="003A406D">
      <w:pPr>
        <w:pStyle w:val="Default"/>
        <w:spacing w:line="312" w:lineRule="auto"/>
        <w:ind w:firstLine="567"/>
        <w:jc w:val="both"/>
        <w:rPr>
          <w:rFonts w:eastAsia="Calibri"/>
          <w:sz w:val="26"/>
          <w:szCs w:val="26"/>
        </w:rPr>
      </w:pPr>
      <w:r>
        <w:rPr>
          <w:rFonts w:eastAsia="Calibri"/>
          <w:sz w:val="26"/>
          <w:szCs w:val="26"/>
        </w:rPr>
        <w:t xml:space="preserve">- Luận án đã </w:t>
      </w:r>
      <w:r w:rsidR="002759DE">
        <w:rPr>
          <w:rFonts w:eastAsia="Calibri"/>
          <w:sz w:val="26"/>
          <w:szCs w:val="26"/>
        </w:rPr>
        <w:t>chỉ rõ các nhân tố ảnh hưởng đến tổ chức công tác kiểm toán BCTC do KTĐL thực hiện, trong đó nhấn mạnh đến nhân tố quy mô công ty kiểm toán và đặc điểm của khách thể kiểm toán, cụ thể là các DNXD.</w:t>
      </w:r>
    </w:p>
    <w:p w:rsidR="00217EEE" w:rsidRDefault="00217EEE" w:rsidP="003A406D">
      <w:pPr>
        <w:pStyle w:val="Default"/>
        <w:spacing w:line="312" w:lineRule="auto"/>
        <w:ind w:firstLine="567"/>
        <w:jc w:val="both"/>
        <w:rPr>
          <w:rFonts w:eastAsia="Calibri"/>
          <w:sz w:val="26"/>
          <w:szCs w:val="26"/>
        </w:rPr>
      </w:pPr>
      <w:r>
        <w:rPr>
          <w:rFonts w:eastAsia="Calibri"/>
          <w:sz w:val="26"/>
          <w:szCs w:val="26"/>
        </w:rPr>
        <w:t xml:space="preserve"> </w:t>
      </w:r>
      <w:r w:rsidR="002759DE">
        <w:rPr>
          <w:rFonts w:eastAsia="Calibri"/>
          <w:sz w:val="26"/>
          <w:szCs w:val="26"/>
        </w:rPr>
        <w:t>- Luận án hệ thống hóa và làm rõ</w:t>
      </w:r>
      <w:r>
        <w:rPr>
          <w:rFonts w:eastAsia="Calibri"/>
          <w:sz w:val="26"/>
          <w:szCs w:val="26"/>
        </w:rPr>
        <w:t xml:space="preserve"> nội dung của tổ chức công tác kiểm toán BCTC các doanh nghiệp xây dự</w:t>
      </w:r>
      <w:r w:rsidR="00A02A39">
        <w:rPr>
          <w:rFonts w:eastAsia="Calibri"/>
          <w:sz w:val="26"/>
          <w:szCs w:val="26"/>
        </w:rPr>
        <w:t>ng (DNXD) do KTĐ</w:t>
      </w:r>
      <w:bookmarkStart w:id="0" w:name="_GoBack"/>
      <w:bookmarkEnd w:id="0"/>
      <w:r>
        <w:rPr>
          <w:rFonts w:eastAsia="Calibri"/>
          <w:sz w:val="26"/>
          <w:szCs w:val="26"/>
        </w:rPr>
        <w:t>L thực hiện, trong đó tập trung vào tổ chức quy trình kiểm toán BCTC DNXD.</w:t>
      </w:r>
      <w:r w:rsidR="00244A97">
        <w:rPr>
          <w:rFonts w:eastAsia="Calibri"/>
          <w:sz w:val="26"/>
          <w:szCs w:val="26"/>
        </w:rPr>
        <w:t xml:space="preserve"> Đồng thời, Luận án cũng đã tổng hợp và phân tích kinh nghiệm tổ chức công tác kiểm toán BCTC DNXD do các công ty kiểm toán nước ngoài tại Việt Nam thực hiện để rút ra bài học kinh nghiệm cho các công ty kiểm toán nhỏ và vừa Việt Nam.</w:t>
      </w:r>
    </w:p>
    <w:p w:rsidR="00244A97" w:rsidRDefault="00244A97" w:rsidP="003A406D">
      <w:pPr>
        <w:pStyle w:val="Default"/>
        <w:spacing w:line="312" w:lineRule="auto"/>
        <w:ind w:firstLine="567"/>
        <w:jc w:val="both"/>
        <w:rPr>
          <w:rFonts w:eastAsia="Calibri"/>
          <w:i/>
          <w:sz w:val="26"/>
          <w:szCs w:val="26"/>
        </w:rPr>
      </w:pPr>
      <w:r>
        <w:rPr>
          <w:rFonts w:eastAsia="Calibri"/>
          <w:sz w:val="26"/>
          <w:szCs w:val="26"/>
        </w:rPr>
        <w:t>+</w:t>
      </w:r>
      <w:r>
        <w:rPr>
          <w:rFonts w:eastAsia="Calibri"/>
          <w:i/>
          <w:sz w:val="26"/>
          <w:szCs w:val="26"/>
        </w:rPr>
        <w:t xml:space="preserve"> Về thực tiễn:</w:t>
      </w:r>
    </w:p>
    <w:p w:rsidR="00244A97" w:rsidRDefault="00244A97" w:rsidP="003A406D">
      <w:pPr>
        <w:pStyle w:val="Default"/>
        <w:spacing w:line="312" w:lineRule="auto"/>
        <w:ind w:firstLine="567"/>
        <w:jc w:val="both"/>
        <w:rPr>
          <w:rFonts w:eastAsia="Calibri"/>
          <w:sz w:val="26"/>
          <w:szCs w:val="26"/>
        </w:rPr>
      </w:pPr>
      <w:r>
        <w:rPr>
          <w:rFonts w:eastAsia="Calibri"/>
          <w:sz w:val="26"/>
          <w:szCs w:val="26"/>
        </w:rPr>
        <w:t xml:space="preserve">- Luận án đã trình bày khái quát về </w:t>
      </w:r>
      <w:r w:rsidR="003349B8">
        <w:rPr>
          <w:rFonts w:eastAsia="Calibri"/>
          <w:sz w:val="26"/>
          <w:szCs w:val="26"/>
        </w:rPr>
        <w:t xml:space="preserve">các công ty kiểm toán nhỏ và vừa Việt Nam, khái quát về </w:t>
      </w:r>
      <w:r>
        <w:rPr>
          <w:rFonts w:eastAsia="Calibri"/>
          <w:sz w:val="26"/>
          <w:szCs w:val="26"/>
        </w:rPr>
        <w:t xml:space="preserve">hệ thống văn bản pháp lý </w:t>
      </w:r>
      <w:r w:rsidR="003349B8">
        <w:rPr>
          <w:rFonts w:eastAsia="Calibri"/>
          <w:sz w:val="26"/>
          <w:szCs w:val="26"/>
        </w:rPr>
        <w:t>trong lĩnh vực</w:t>
      </w:r>
      <w:r>
        <w:rPr>
          <w:rFonts w:eastAsia="Calibri"/>
          <w:sz w:val="26"/>
          <w:szCs w:val="26"/>
        </w:rPr>
        <w:t xml:space="preserve"> kiểm toán</w:t>
      </w:r>
      <w:r w:rsidR="003349B8">
        <w:rPr>
          <w:rFonts w:eastAsia="Calibri"/>
          <w:sz w:val="26"/>
          <w:szCs w:val="26"/>
        </w:rPr>
        <w:t xml:space="preserve"> độc lập tại Việt Nam, khái quát về tổ chức công tác kiểm toán BCTC DNXD do KTĐL thực hiện.</w:t>
      </w:r>
    </w:p>
    <w:p w:rsidR="003349B8" w:rsidRDefault="003349B8" w:rsidP="003A406D">
      <w:pPr>
        <w:pStyle w:val="Default"/>
        <w:spacing w:line="312" w:lineRule="auto"/>
        <w:ind w:firstLine="567"/>
        <w:jc w:val="both"/>
        <w:rPr>
          <w:rFonts w:eastAsia="Calibri"/>
          <w:sz w:val="26"/>
          <w:szCs w:val="26"/>
        </w:rPr>
      </w:pPr>
      <w:r>
        <w:rPr>
          <w:rFonts w:eastAsia="Calibri"/>
          <w:sz w:val="26"/>
          <w:szCs w:val="26"/>
        </w:rPr>
        <w:t xml:space="preserve">- Luận án đã mô tả rõ nét về thực trạng tổ chức công tác kiểm toán BCTC DNXD do các công ty kiểm toán nhỏ và vừa Việt Nam thực hiện, trong đó chú trọng tổ chức quy trình kiểm toán BCTC DNXD, qua đó phân tích, đánh giá thực trạng tổ chức công tác kiểm toán </w:t>
      </w:r>
      <w:r>
        <w:rPr>
          <w:rFonts w:eastAsia="Calibri"/>
          <w:sz w:val="26"/>
          <w:szCs w:val="26"/>
        </w:rPr>
        <w:lastRenderedPageBreak/>
        <w:t>BCTC DNXD do các công ty kiểm toán nhỏ và vừa Việt Nam thực hiện, chỉ rõ những kết quả đạt được, hạn chế còn tồn tại và nguyên nhân của hạn chế.</w:t>
      </w:r>
    </w:p>
    <w:p w:rsidR="00423363" w:rsidRPr="003349B8" w:rsidRDefault="003349B8" w:rsidP="003A406D">
      <w:pPr>
        <w:pStyle w:val="Default"/>
        <w:spacing w:line="312" w:lineRule="auto"/>
        <w:ind w:firstLine="567"/>
        <w:jc w:val="both"/>
        <w:rPr>
          <w:rFonts w:eastAsia="Calibri"/>
          <w:sz w:val="26"/>
          <w:szCs w:val="26"/>
        </w:rPr>
      </w:pPr>
      <w:r w:rsidRPr="003349B8">
        <w:rPr>
          <w:rFonts w:eastAsia="Calibri"/>
          <w:b/>
          <w:i/>
          <w:sz w:val="26"/>
          <w:szCs w:val="26"/>
        </w:rPr>
        <w:t>5.2.</w:t>
      </w:r>
      <w:r>
        <w:rPr>
          <w:rFonts w:eastAsia="Calibri"/>
          <w:sz w:val="26"/>
          <w:szCs w:val="26"/>
        </w:rPr>
        <w:t xml:space="preserve"> </w:t>
      </w:r>
      <w:r w:rsidR="00423363" w:rsidRPr="00392917">
        <w:rPr>
          <w:b/>
          <w:bCs/>
          <w:i/>
          <w:iCs/>
          <w:sz w:val="26"/>
          <w:szCs w:val="26"/>
        </w:rPr>
        <w:t xml:space="preserve">Những đề xuất mới rút ra từ kết quả nghiên cứu </w:t>
      </w:r>
    </w:p>
    <w:p w:rsidR="00771D61" w:rsidRDefault="00771D61" w:rsidP="003A406D">
      <w:pPr>
        <w:pStyle w:val="Default"/>
        <w:spacing w:line="312" w:lineRule="auto"/>
        <w:ind w:firstLine="567"/>
        <w:jc w:val="both"/>
        <w:rPr>
          <w:bCs/>
          <w:iCs/>
          <w:sz w:val="26"/>
          <w:szCs w:val="26"/>
        </w:rPr>
      </w:pPr>
      <w:r>
        <w:rPr>
          <w:bCs/>
          <w:iCs/>
          <w:sz w:val="26"/>
          <w:szCs w:val="26"/>
        </w:rPr>
        <w:t>Luận án đã đề xuất một số giải pháp để xây dựng và hoàn thiện tổ chức công tác kiểm toán BCTC DNXD, đặc biệt là hoàn thiện tổ chức quy trình kiểm toán BCTC DNXD do các công ty kiểm toán nhỏ và vừa Việt Nam thực hiện</w:t>
      </w:r>
      <w:r w:rsidR="00E20DE4">
        <w:rPr>
          <w:bCs/>
          <w:iCs/>
          <w:sz w:val="26"/>
          <w:szCs w:val="26"/>
        </w:rPr>
        <w:t>, cụ thể như sau:</w:t>
      </w:r>
    </w:p>
    <w:p w:rsidR="00771D61" w:rsidRDefault="00E20DE4" w:rsidP="003A406D">
      <w:pPr>
        <w:pStyle w:val="Default"/>
        <w:spacing w:line="312" w:lineRule="auto"/>
        <w:ind w:firstLine="567"/>
        <w:jc w:val="both"/>
        <w:rPr>
          <w:sz w:val="26"/>
          <w:szCs w:val="26"/>
        </w:rPr>
      </w:pPr>
      <w:r w:rsidRPr="00E20DE4">
        <w:rPr>
          <w:bCs/>
          <w:i/>
          <w:iCs/>
          <w:sz w:val="26"/>
          <w:szCs w:val="26"/>
        </w:rPr>
        <w:t>Thứ nhất</w:t>
      </w:r>
      <w:r>
        <w:rPr>
          <w:bCs/>
          <w:iCs/>
          <w:sz w:val="26"/>
          <w:szCs w:val="26"/>
        </w:rPr>
        <w:t xml:space="preserve">: </w:t>
      </w:r>
      <w:r w:rsidRPr="00E20DE4">
        <w:rPr>
          <w:bCs/>
          <w:iCs/>
          <w:sz w:val="26"/>
          <w:szCs w:val="26"/>
        </w:rPr>
        <w:t xml:space="preserve">Giải pháp hoàn thiện </w:t>
      </w:r>
      <w:r w:rsidR="00771D61">
        <w:rPr>
          <w:bCs/>
          <w:iCs/>
          <w:sz w:val="26"/>
          <w:szCs w:val="26"/>
        </w:rPr>
        <w:t>tổ chức giai đoạn chuẩn bị và lập kế hoạch kiểm toán BCTC DNXD, gồm</w:t>
      </w:r>
      <w:r w:rsidR="00771D61" w:rsidRPr="00771D61">
        <w:rPr>
          <w:bCs/>
          <w:iCs/>
          <w:sz w:val="26"/>
          <w:szCs w:val="26"/>
        </w:rPr>
        <w:t xml:space="preserve">: </w:t>
      </w:r>
      <w:r w:rsidR="00771D61" w:rsidRPr="00771D61">
        <w:rPr>
          <w:sz w:val="26"/>
          <w:szCs w:val="26"/>
        </w:rPr>
        <w:t>Hoàn thiện tổ chức xem xét chấp nhận khách hàng và đánh giá rủi ro hợp đồng, Hoàn thiện tổ chức sử dụng ý kiến chuyên gia trong kiểm toán BCTC DNXD, Hoàn thiện tổ chức thủ tục phân tích sơ bộ BCTC DNXD, Hoàn thiện tổ chức đánh giá chung về KSNB của DNXD, Hoàn thiện tổ chức phương pháp chọn mẫu</w:t>
      </w:r>
      <w:r w:rsidR="00771D61">
        <w:rPr>
          <w:sz w:val="26"/>
          <w:szCs w:val="26"/>
        </w:rPr>
        <w:t>.</w:t>
      </w:r>
    </w:p>
    <w:p w:rsidR="00E20DE4" w:rsidRDefault="00E20DE4" w:rsidP="003A406D">
      <w:pPr>
        <w:pStyle w:val="Default"/>
        <w:spacing w:line="312" w:lineRule="auto"/>
        <w:ind w:firstLine="567"/>
        <w:jc w:val="both"/>
        <w:rPr>
          <w:sz w:val="26"/>
          <w:szCs w:val="26"/>
        </w:rPr>
      </w:pPr>
      <w:r w:rsidRPr="00E20DE4">
        <w:rPr>
          <w:i/>
          <w:sz w:val="26"/>
          <w:szCs w:val="26"/>
        </w:rPr>
        <w:t>Thứ hai</w:t>
      </w:r>
      <w:r>
        <w:rPr>
          <w:sz w:val="26"/>
          <w:szCs w:val="26"/>
        </w:rPr>
        <w:t xml:space="preserve">: </w:t>
      </w:r>
      <w:r w:rsidRPr="00E20DE4">
        <w:rPr>
          <w:sz w:val="26"/>
          <w:szCs w:val="26"/>
        </w:rPr>
        <w:t xml:space="preserve">Giải pháp hoàn thiện </w:t>
      </w:r>
      <w:r w:rsidR="007D6F34">
        <w:rPr>
          <w:sz w:val="26"/>
          <w:szCs w:val="26"/>
        </w:rPr>
        <w:t>tổ chức giai đoạn thực hiện kiểm toán, gồm: chú trọng tổ chức vận dụng thử nghiệm kiểm soát và chú trọng tổ chức vận dụng thử nghiệm cơ bản.</w:t>
      </w:r>
      <w:r w:rsidRPr="00E20DE4">
        <w:rPr>
          <w:sz w:val="26"/>
          <w:szCs w:val="26"/>
        </w:rPr>
        <w:t xml:space="preserve"> </w:t>
      </w:r>
    </w:p>
    <w:p w:rsidR="00E20DE4" w:rsidRDefault="00E20DE4" w:rsidP="003A406D">
      <w:pPr>
        <w:pStyle w:val="Default"/>
        <w:spacing w:line="312" w:lineRule="auto"/>
        <w:ind w:firstLine="567"/>
        <w:jc w:val="both"/>
        <w:rPr>
          <w:sz w:val="26"/>
          <w:szCs w:val="26"/>
        </w:rPr>
      </w:pPr>
      <w:r w:rsidRPr="00E20DE4">
        <w:rPr>
          <w:i/>
          <w:sz w:val="26"/>
          <w:szCs w:val="26"/>
        </w:rPr>
        <w:t>Thứ</w:t>
      </w:r>
      <w:r>
        <w:rPr>
          <w:i/>
          <w:sz w:val="26"/>
          <w:szCs w:val="26"/>
        </w:rPr>
        <w:t xml:space="preserve"> ba</w:t>
      </w:r>
      <w:r>
        <w:rPr>
          <w:sz w:val="26"/>
          <w:szCs w:val="26"/>
        </w:rPr>
        <w:t xml:space="preserve">: </w:t>
      </w:r>
      <w:r w:rsidRPr="00E20DE4">
        <w:rPr>
          <w:sz w:val="26"/>
          <w:szCs w:val="26"/>
        </w:rPr>
        <w:t xml:space="preserve">Giải pháp hoàn thiện </w:t>
      </w:r>
      <w:r w:rsidR="007D6F34">
        <w:rPr>
          <w:sz w:val="26"/>
          <w:szCs w:val="26"/>
        </w:rPr>
        <w:t>tổ chức giai đoạn kết thúc kiểm toán, gồm: hoàn thiện tổ chức tổng hợp kết quả kiểm toán, hoàn thiện tổ chức thực hiện thủ tục phân tích tổng thể BCTC DNXD, hoàn thiện tổ chức đánh giá khả năng hoạt động liên tục của DNXD, hoàn thiện tổ chức theo dõi các vấn đề phát sinh sau ngày kết thúc niên độ kế toán.</w:t>
      </w:r>
    </w:p>
    <w:p w:rsidR="003A406D" w:rsidRDefault="00E20DE4" w:rsidP="003A406D">
      <w:pPr>
        <w:pStyle w:val="Default"/>
        <w:spacing w:line="312" w:lineRule="auto"/>
        <w:ind w:firstLine="567"/>
        <w:jc w:val="both"/>
        <w:rPr>
          <w:sz w:val="26"/>
          <w:szCs w:val="26"/>
        </w:rPr>
      </w:pPr>
      <w:r w:rsidRPr="00E20DE4">
        <w:rPr>
          <w:i/>
          <w:sz w:val="26"/>
          <w:szCs w:val="26"/>
        </w:rPr>
        <w:t>Thứ</w:t>
      </w:r>
      <w:r>
        <w:rPr>
          <w:i/>
          <w:sz w:val="26"/>
          <w:szCs w:val="26"/>
        </w:rPr>
        <w:t xml:space="preserve"> tư</w:t>
      </w:r>
      <w:r>
        <w:rPr>
          <w:sz w:val="26"/>
          <w:szCs w:val="26"/>
        </w:rPr>
        <w:t xml:space="preserve">: </w:t>
      </w:r>
      <w:r w:rsidR="007D6F34">
        <w:rPr>
          <w:sz w:val="26"/>
          <w:szCs w:val="26"/>
        </w:rPr>
        <w:t>Các giải</w:t>
      </w:r>
      <w:r w:rsidRPr="00E20DE4">
        <w:rPr>
          <w:sz w:val="26"/>
          <w:szCs w:val="26"/>
        </w:rPr>
        <w:t xml:space="preserve"> pháp </w:t>
      </w:r>
      <w:r w:rsidR="007D6F34">
        <w:rPr>
          <w:sz w:val="26"/>
          <w:szCs w:val="26"/>
        </w:rPr>
        <w:t xml:space="preserve">khác, gồm: giải pháp </w:t>
      </w:r>
      <w:r w:rsidRPr="00E20DE4">
        <w:rPr>
          <w:sz w:val="26"/>
          <w:szCs w:val="26"/>
        </w:rPr>
        <w:t xml:space="preserve">hoàn thiện </w:t>
      </w:r>
      <w:r w:rsidR="007D6F34">
        <w:rPr>
          <w:sz w:val="26"/>
          <w:szCs w:val="26"/>
        </w:rPr>
        <w:t xml:space="preserve">tổ chức sử dụng phần mềm kiểm toán trong kiểm toán BCTC nói chung và BCTC DNXD nói riêng, giải pháp hoàn thiện tổ chức kiểm soát chất lượng trong kiểm toán BCTC DNXD, giải pháp hoàn thiện </w:t>
      </w:r>
      <w:r w:rsidR="003A406D">
        <w:rPr>
          <w:sz w:val="26"/>
          <w:szCs w:val="26"/>
        </w:rPr>
        <w:t>tổ chức quản lý hồ sơ kiểm toán.</w:t>
      </w:r>
    </w:p>
    <w:p w:rsidR="003A406D" w:rsidRPr="00366960" w:rsidRDefault="00423363" w:rsidP="00366960">
      <w:pPr>
        <w:pStyle w:val="Default"/>
        <w:spacing w:line="312" w:lineRule="auto"/>
        <w:ind w:firstLine="567"/>
        <w:jc w:val="both"/>
        <w:rPr>
          <w:sz w:val="26"/>
          <w:szCs w:val="26"/>
        </w:rPr>
      </w:pPr>
      <w:r w:rsidRPr="00392917">
        <w:rPr>
          <w:i/>
          <w:iCs/>
          <w:sz w:val="26"/>
          <w:szCs w:val="26"/>
        </w:rPr>
        <w:t>Cuối cùng</w:t>
      </w:r>
      <w:r w:rsidRPr="00392917">
        <w:rPr>
          <w:sz w:val="26"/>
          <w:szCs w:val="26"/>
        </w:rPr>
        <w:t xml:space="preserve">, Luận án cũng đưa ra các điều kiện cần thiết để có thể triển khai, thực hiện các giải pháp nêu trên. </w:t>
      </w:r>
    </w:p>
    <w:p w:rsidR="00A66182" w:rsidRPr="00D164F5" w:rsidRDefault="00A66182" w:rsidP="003A406D">
      <w:pPr>
        <w:spacing w:after="0" w:line="312" w:lineRule="auto"/>
        <w:jc w:val="right"/>
        <w:rPr>
          <w:i/>
          <w:sz w:val="26"/>
          <w:szCs w:val="26"/>
        </w:rPr>
      </w:pPr>
      <w:r w:rsidRPr="00D164F5">
        <w:rPr>
          <w:i/>
          <w:sz w:val="26"/>
          <w:szCs w:val="26"/>
        </w:rPr>
        <w:t>Hà nội, ngày….tháng …</w:t>
      </w:r>
      <w:r w:rsidR="003A406D">
        <w:rPr>
          <w:i/>
          <w:sz w:val="26"/>
          <w:szCs w:val="26"/>
        </w:rPr>
        <w:t>..năm 2018</w:t>
      </w:r>
    </w:p>
    <w:tbl>
      <w:tblPr>
        <w:tblW w:w="10349" w:type="dxa"/>
        <w:tblInd w:w="-284" w:type="dxa"/>
        <w:tblLook w:val="01E0" w:firstRow="1" w:lastRow="1" w:firstColumn="1" w:lastColumn="1" w:noHBand="0" w:noVBand="0"/>
      </w:tblPr>
      <w:tblGrid>
        <w:gridCol w:w="2978"/>
        <w:gridCol w:w="4110"/>
        <w:gridCol w:w="3261"/>
      </w:tblGrid>
      <w:tr w:rsidR="00366960" w:rsidRPr="00D164F5" w:rsidTr="00366960">
        <w:tc>
          <w:tcPr>
            <w:tcW w:w="7088" w:type="dxa"/>
            <w:gridSpan w:val="2"/>
            <w:shd w:val="clear" w:color="auto" w:fill="auto"/>
          </w:tcPr>
          <w:p w:rsidR="00366960" w:rsidRDefault="00366960" w:rsidP="00366960">
            <w:pPr>
              <w:tabs>
                <w:tab w:val="left" w:pos="750"/>
                <w:tab w:val="center" w:pos="3149"/>
              </w:tabs>
              <w:spacing w:after="0" w:line="312" w:lineRule="auto"/>
              <w:rPr>
                <w:rFonts w:eastAsia="Times New Roman"/>
                <w:b/>
                <w:sz w:val="26"/>
                <w:lang w:val="pt-PT"/>
              </w:rPr>
            </w:pPr>
            <w:r>
              <w:rPr>
                <w:rFonts w:eastAsia="Times New Roman"/>
                <w:b/>
                <w:sz w:val="26"/>
                <w:lang w:val="pt-PT"/>
              </w:rPr>
              <w:tab/>
            </w:r>
          </w:p>
          <w:p w:rsidR="00366960" w:rsidRPr="00D164F5" w:rsidRDefault="00366960" w:rsidP="00366960">
            <w:pPr>
              <w:tabs>
                <w:tab w:val="left" w:pos="750"/>
                <w:tab w:val="center" w:pos="3149"/>
              </w:tabs>
              <w:spacing w:after="0" w:line="312" w:lineRule="auto"/>
              <w:rPr>
                <w:rFonts w:eastAsia="Times New Roman"/>
                <w:b/>
                <w:sz w:val="26"/>
                <w:lang w:val="pt-PT"/>
              </w:rPr>
            </w:pPr>
            <w:r>
              <w:rPr>
                <w:rFonts w:eastAsia="Times New Roman"/>
                <w:b/>
                <w:sz w:val="26"/>
                <w:lang w:val="pt-PT"/>
              </w:rPr>
              <w:tab/>
            </w:r>
            <w:r w:rsidRPr="00D164F5">
              <w:rPr>
                <w:rFonts w:eastAsia="Times New Roman"/>
                <w:b/>
                <w:sz w:val="26"/>
                <w:lang w:val="pt-PT"/>
              </w:rPr>
              <w:t>CÁN BỘ HƯỚNG DẪN KHOA HỌC</w:t>
            </w:r>
          </w:p>
        </w:tc>
        <w:tc>
          <w:tcPr>
            <w:tcW w:w="3261" w:type="dxa"/>
            <w:shd w:val="clear" w:color="auto" w:fill="auto"/>
          </w:tcPr>
          <w:p w:rsidR="00366960" w:rsidRDefault="00366960" w:rsidP="003A406D">
            <w:pPr>
              <w:spacing w:after="0" w:line="312" w:lineRule="auto"/>
              <w:rPr>
                <w:rFonts w:eastAsia="Times New Roman"/>
                <w:b/>
                <w:sz w:val="26"/>
              </w:rPr>
            </w:pPr>
          </w:p>
          <w:p w:rsidR="00366960" w:rsidRPr="00D164F5" w:rsidRDefault="00366960" w:rsidP="003A406D">
            <w:pPr>
              <w:spacing w:after="0" w:line="312" w:lineRule="auto"/>
              <w:rPr>
                <w:rFonts w:eastAsia="Times New Roman"/>
                <w:b/>
                <w:sz w:val="26"/>
              </w:rPr>
            </w:pPr>
            <w:r>
              <w:rPr>
                <w:rFonts w:eastAsia="Times New Roman"/>
                <w:b/>
                <w:sz w:val="26"/>
              </w:rPr>
              <w:t xml:space="preserve">   </w:t>
            </w:r>
            <w:r w:rsidRPr="00D164F5">
              <w:rPr>
                <w:rFonts w:eastAsia="Times New Roman"/>
                <w:b/>
                <w:sz w:val="26"/>
              </w:rPr>
              <w:t>NGHIÊN CỨU SINH</w:t>
            </w:r>
          </w:p>
        </w:tc>
      </w:tr>
      <w:tr w:rsidR="00366960" w:rsidRPr="00D164F5" w:rsidTr="00366960">
        <w:tc>
          <w:tcPr>
            <w:tcW w:w="2978" w:type="dxa"/>
            <w:shd w:val="clear" w:color="auto" w:fill="auto"/>
          </w:tcPr>
          <w:p w:rsidR="00366960" w:rsidRPr="00D164F5" w:rsidRDefault="00366960" w:rsidP="003A406D">
            <w:pPr>
              <w:spacing w:after="0" w:line="312" w:lineRule="auto"/>
              <w:jc w:val="center"/>
              <w:rPr>
                <w:rFonts w:eastAsia="Times New Roman"/>
                <w:b/>
                <w:sz w:val="26"/>
              </w:rPr>
            </w:pPr>
            <w:r w:rsidRPr="00D164F5">
              <w:rPr>
                <w:rFonts w:eastAsia="Times New Roman"/>
                <w:b/>
                <w:sz w:val="26"/>
              </w:rPr>
              <w:t>Hướng dẫn 1</w:t>
            </w:r>
          </w:p>
          <w:p w:rsidR="00366960" w:rsidRPr="00D164F5" w:rsidRDefault="00366960" w:rsidP="003A406D">
            <w:pPr>
              <w:spacing w:after="0" w:line="312" w:lineRule="auto"/>
              <w:jc w:val="center"/>
              <w:rPr>
                <w:rFonts w:eastAsia="Times New Roman"/>
                <w:b/>
                <w:sz w:val="26"/>
              </w:rPr>
            </w:pPr>
          </w:p>
          <w:p w:rsidR="00366960" w:rsidRDefault="00366960" w:rsidP="003A406D">
            <w:pPr>
              <w:spacing w:after="0" w:line="312" w:lineRule="auto"/>
              <w:jc w:val="center"/>
              <w:rPr>
                <w:rFonts w:eastAsia="Times New Roman"/>
                <w:b/>
                <w:sz w:val="26"/>
              </w:rPr>
            </w:pPr>
          </w:p>
          <w:p w:rsidR="00366960" w:rsidRDefault="00366960" w:rsidP="003A406D">
            <w:pPr>
              <w:spacing w:after="0" w:line="312" w:lineRule="auto"/>
              <w:jc w:val="center"/>
              <w:rPr>
                <w:rFonts w:eastAsia="Times New Roman"/>
                <w:b/>
                <w:sz w:val="26"/>
              </w:rPr>
            </w:pPr>
          </w:p>
          <w:p w:rsidR="00366960" w:rsidRPr="00D164F5" w:rsidRDefault="00366960" w:rsidP="00366960">
            <w:pPr>
              <w:spacing w:after="0" w:line="312" w:lineRule="auto"/>
              <w:ind w:firstLine="37"/>
              <w:jc w:val="center"/>
              <w:rPr>
                <w:rFonts w:eastAsia="Times New Roman"/>
                <w:b/>
                <w:sz w:val="26"/>
              </w:rPr>
            </w:pPr>
            <w:r>
              <w:rPr>
                <w:rFonts w:eastAsia="Times New Roman"/>
                <w:b/>
                <w:spacing w:val="-6"/>
                <w:sz w:val="26"/>
              </w:rPr>
              <w:t>PGS.TS.</w:t>
            </w:r>
            <w:r w:rsidRPr="00366960">
              <w:rPr>
                <w:rFonts w:eastAsia="Times New Roman"/>
                <w:b/>
                <w:spacing w:val="-6"/>
                <w:sz w:val="26"/>
              </w:rPr>
              <w:t>Thịnh Văn Vinh</w:t>
            </w:r>
          </w:p>
          <w:p w:rsidR="00366960" w:rsidRPr="00D164F5" w:rsidRDefault="00366960" w:rsidP="003A406D">
            <w:pPr>
              <w:spacing w:after="0" w:line="312" w:lineRule="auto"/>
              <w:jc w:val="center"/>
              <w:rPr>
                <w:rFonts w:eastAsia="Times New Roman"/>
                <w:b/>
                <w:sz w:val="26"/>
              </w:rPr>
            </w:pPr>
          </w:p>
        </w:tc>
        <w:tc>
          <w:tcPr>
            <w:tcW w:w="4110" w:type="dxa"/>
            <w:shd w:val="clear" w:color="auto" w:fill="auto"/>
          </w:tcPr>
          <w:p w:rsidR="00366960" w:rsidRPr="00D164F5" w:rsidRDefault="00366960" w:rsidP="003A406D">
            <w:pPr>
              <w:spacing w:after="0" w:line="312" w:lineRule="auto"/>
              <w:jc w:val="center"/>
              <w:rPr>
                <w:rFonts w:eastAsia="Times New Roman"/>
                <w:b/>
                <w:sz w:val="26"/>
              </w:rPr>
            </w:pPr>
            <w:r w:rsidRPr="00D164F5">
              <w:rPr>
                <w:rFonts w:eastAsia="Times New Roman"/>
                <w:b/>
                <w:sz w:val="26"/>
              </w:rPr>
              <w:t>Hướng dẫn 2</w:t>
            </w:r>
          </w:p>
          <w:p w:rsidR="00366960" w:rsidRPr="00D164F5" w:rsidRDefault="00366960" w:rsidP="003A406D">
            <w:pPr>
              <w:spacing w:after="0" w:line="312" w:lineRule="auto"/>
              <w:jc w:val="center"/>
              <w:rPr>
                <w:rFonts w:eastAsia="Times New Roman"/>
                <w:b/>
                <w:sz w:val="26"/>
              </w:rPr>
            </w:pPr>
          </w:p>
          <w:p w:rsidR="00366960" w:rsidRPr="00D164F5" w:rsidRDefault="00366960" w:rsidP="003A406D">
            <w:pPr>
              <w:spacing w:after="0" w:line="312" w:lineRule="auto"/>
              <w:jc w:val="center"/>
              <w:rPr>
                <w:rFonts w:eastAsia="Times New Roman"/>
                <w:b/>
                <w:sz w:val="26"/>
              </w:rPr>
            </w:pPr>
          </w:p>
          <w:p w:rsidR="00366960" w:rsidRPr="00D164F5" w:rsidRDefault="00366960" w:rsidP="003A406D">
            <w:pPr>
              <w:spacing w:after="0" w:line="312" w:lineRule="auto"/>
              <w:jc w:val="center"/>
              <w:rPr>
                <w:rFonts w:eastAsia="Times New Roman"/>
                <w:b/>
                <w:sz w:val="26"/>
              </w:rPr>
            </w:pPr>
          </w:p>
          <w:p w:rsidR="00366960" w:rsidRPr="00D164F5" w:rsidRDefault="00366960" w:rsidP="003A406D">
            <w:pPr>
              <w:spacing w:after="0" w:line="312" w:lineRule="auto"/>
              <w:jc w:val="center"/>
              <w:rPr>
                <w:rFonts w:eastAsia="Times New Roman"/>
                <w:b/>
                <w:sz w:val="26"/>
              </w:rPr>
            </w:pPr>
            <w:r>
              <w:rPr>
                <w:rFonts w:eastAsia="Times New Roman"/>
                <w:b/>
                <w:spacing w:val="-6"/>
                <w:sz w:val="26"/>
              </w:rPr>
              <w:t>PGS.TS.</w:t>
            </w:r>
            <w:r w:rsidRPr="00366960">
              <w:rPr>
                <w:rFonts w:eastAsia="Times New Roman"/>
                <w:b/>
                <w:spacing w:val="-6"/>
                <w:sz w:val="26"/>
              </w:rPr>
              <w:t>Nguyễn Thị Phương Hoa</w:t>
            </w:r>
            <w:r>
              <w:rPr>
                <w:rFonts w:eastAsia="Times New Roman"/>
                <w:b/>
                <w:spacing w:val="-6"/>
                <w:sz w:val="26"/>
              </w:rPr>
              <w:t xml:space="preserve"> </w:t>
            </w:r>
          </w:p>
        </w:tc>
        <w:tc>
          <w:tcPr>
            <w:tcW w:w="3261" w:type="dxa"/>
            <w:shd w:val="clear" w:color="auto" w:fill="auto"/>
          </w:tcPr>
          <w:p w:rsidR="00366960" w:rsidRPr="00D164F5" w:rsidRDefault="00366960" w:rsidP="003A406D">
            <w:pPr>
              <w:spacing w:after="0" w:line="312" w:lineRule="auto"/>
              <w:rPr>
                <w:rFonts w:eastAsia="Times New Roman"/>
                <w:sz w:val="26"/>
              </w:rPr>
            </w:pPr>
          </w:p>
          <w:p w:rsidR="00366960" w:rsidRPr="00D164F5" w:rsidRDefault="00366960" w:rsidP="003A406D">
            <w:pPr>
              <w:spacing w:after="0" w:line="312" w:lineRule="auto"/>
              <w:rPr>
                <w:rFonts w:eastAsia="Times New Roman"/>
                <w:sz w:val="26"/>
              </w:rPr>
            </w:pPr>
          </w:p>
          <w:p w:rsidR="00366960" w:rsidRPr="00D164F5" w:rsidRDefault="00366960" w:rsidP="003A406D">
            <w:pPr>
              <w:spacing w:after="0" w:line="312" w:lineRule="auto"/>
              <w:rPr>
                <w:rFonts w:eastAsia="Times New Roman"/>
                <w:sz w:val="26"/>
              </w:rPr>
            </w:pPr>
          </w:p>
          <w:p w:rsidR="00366960" w:rsidRPr="00D164F5" w:rsidRDefault="00366960" w:rsidP="003A406D">
            <w:pPr>
              <w:spacing w:after="0" w:line="312" w:lineRule="auto"/>
              <w:rPr>
                <w:rFonts w:eastAsia="Times New Roman"/>
                <w:sz w:val="26"/>
              </w:rPr>
            </w:pPr>
          </w:p>
          <w:p w:rsidR="00366960" w:rsidRPr="00D164F5" w:rsidRDefault="00366960" w:rsidP="003A406D">
            <w:pPr>
              <w:spacing w:after="0" w:line="312" w:lineRule="auto"/>
              <w:rPr>
                <w:rFonts w:eastAsia="Times New Roman"/>
                <w:b/>
                <w:sz w:val="26"/>
              </w:rPr>
            </w:pPr>
            <w:r w:rsidRPr="00366960">
              <w:rPr>
                <w:rFonts w:eastAsia="Times New Roman"/>
                <w:b/>
                <w:spacing w:val="-6"/>
                <w:sz w:val="26"/>
              </w:rPr>
              <w:t>Nguyễn Thị Thanh Phương</w:t>
            </w:r>
          </w:p>
        </w:tc>
      </w:tr>
    </w:tbl>
    <w:p w:rsidR="00B440B5" w:rsidRPr="00392917" w:rsidRDefault="00B440B5" w:rsidP="003A406D">
      <w:pPr>
        <w:spacing w:after="0" w:line="312" w:lineRule="auto"/>
        <w:jc w:val="both"/>
        <w:rPr>
          <w:sz w:val="26"/>
          <w:szCs w:val="26"/>
        </w:rPr>
      </w:pPr>
    </w:p>
    <w:sectPr w:rsidR="00B440B5" w:rsidRPr="00392917" w:rsidSect="003A406D">
      <w:pgSz w:w="12240" w:h="15840"/>
      <w:pgMar w:top="1134" w:right="1440" w:bottom="12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0F04" w:rsidRDefault="00310F04" w:rsidP="003A406D">
      <w:pPr>
        <w:spacing w:after="0" w:line="240" w:lineRule="auto"/>
      </w:pPr>
      <w:r>
        <w:separator/>
      </w:r>
    </w:p>
  </w:endnote>
  <w:endnote w:type="continuationSeparator" w:id="0">
    <w:p w:rsidR="00310F04" w:rsidRDefault="00310F04" w:rsidP="003A40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nTime">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0F04" w:rsidRDefault="00310F04" w:rsidP="003A406D">
      <w:pPr>
        <w:spacing w:after="0" w:line="240" w:lineRule="auto"/>
      </w:pPr>
      <w:r>
        <w:separator/>
      </w:r>
    </w:p>
  </w:footnote>
  <w:footnote w:type="continuationSeparator" w:id="0">
    <w:p w:rsidR="00310F04" w:rsidRDefault="00310F04" w:rsidP="003A40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E11BD1"/>
    <w:multiLevelType w:val="hybridMultilevel"/>
    <w:tmpl w:val="92E87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363"/>
    <w:rsid w:val="00204044"/>
    <w:rsid w:val="00217EEE"/>
    <w:rsid w:val="00244A97"/>
    <w:rsid w:val="002759DE"/>
    <w:rsid w:val="00310F04"/>
    <w:rsid w:val="00327BE6"/>
    <w:rsid w:val="003349B8"/>
    <w:rsid w:val="003517C1"/>
    <w:rsid w:val="00366960"/>
    <w:rsid w:val="00377AF9"/>
    <w:rsid w:val="00392917"/>
    <w:rsid w:val="003A406D"/>
    <w:rsid w:val="003D4CA2"/>
    <w:rsid w:val="00423363"/>
    <w:rsid w:val="005A61BF"/>
    <w:rsid w:val="00675D30"/>
    <w:rsid w:val="006D5282"/>
    <w:rsid w:val="006D746E"/>
    <w:rsid w:val="00771D61"/>
    <w:rsid w:val="007A0929"/>
    <w:rsid w:val="007D6F34"/>
    <w:rsid w:val="007E4C6C"/>
    <w:rsid w:val="00801437"/>
    <w:rsid w:val="00A02A39"/>
    <w:rsid w:val="00A33E98"/>
    <w:rsid w:val="00A66182"/>
    <w:rsid w:val="00B440B5"/>
    <w:rsid w:val="00C90155"/>
    <w:rsid w:val="00D86939"/>
    <w:rsid w:val="00E20DE4"/>
    <w:rsid w:val="00E560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D004E"/>
  <w15:docId w15:val="{54C960D9-CB19-4F58-B0B0-86BFEE2DB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before="120" w:line="312"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Binhthng">
    <w:name w:val="Normal"/>
    <w:qFormat/>
    <w:rsid w:val="00A66182"/>
    <w:pPr>
      <w:spacing w:before="0" w:after="200" w:line="276" w:lineRule="auto"/>
      <w:jc w:val="left"/>
    </w:pPr>
    <w:rPr>
      <w:rFonts w:ascii="Times New Roman" w:eastAsia="Calibri" w:hAnsi="Times New Roman" w:cs="Times New Roman"/>
      <w:sz w:val="28"/>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customStyle="1" w:styleId="Default">
    <w:name w:val="Default"/>
    <w:rsid w:val="00423363"/>
    <w:pPr>
      <w:autoSpaceDE w:val="0"/>
      <w:autoSpaceDN w:val="0"/>
      <w:adjustRightInd w:val="0"/>
      <w:spacing w:before="0" w:line="240" w:lineRule="auto"/>
      <w:jc w:val="left"/>
    </w:pPr>
    <w:rPr>
      <w:rFonts w:ascii="Times New Roman" w:hAnsi="Times New Roman" w:cs="Times New Roman"/>
      <w:color w:val="000000"/>
      <w:sz w:val="24"/>
      <w:szCs w:val="24"/>
    </w:rPr>
  </w:style>
  <w:style w:type="paragraph" w:styleId="ThnVnban">
    <w:name w:val="Body Text"/>
    <w:basedOn w:val="Binhthng"/>
    <w:link w:val="ThnVnbanChar"/>
    <w:rsid w:val="00A33E98"/>
    <w:pPr>
      <w:spacing w:after="0" w:line="240" w:lineRule="auto"/>
      <w:jc w:val="both"/>
    </w:pPr>
    <w:rPr>
      <w:rFonts w:ascii=".VnTime" w:eastAsia="Times New Roman" w:hAnsi=".VnTime"/>
      <w:szCs w:val="20"/>
    </w:rPr>
  </w:style>
  <w:style w:type="character" w:customStyle="1" w:styleId="ThnVnbanChar">
    <w:name w:val="Thân Văn bản Char"/>
    <w:basedOn w:val="Phngmcinhcuaoanvn"/>
    <w:link w:val="ThnVnban"/>
    <w:rsid w:val="00A33E98"/>
    <w:rPr>
      <w:rFonts w:ascii=".VnTime" w:eastAsia="Times New Roman" w:hAnsi=".VnTime" w:cs="Times New Roman"/>
      <w:sz w:val="28"/>
      <w:szCs w:val="20"/>
    </w:rPr>
  </w:style>
  <w:style w:type="paragraph" w:styleId="utrang">
    <w:name w:val="header"/>
    <w:basedOn w:val="Binhthng"/>
    <w:link w:val="utrangChar"/>
    <w:uiPriority w:val="99"/>
    <w:unhideWhenUsed/>
    <w:rsid w:val="003A406D"/>
    <w:pPr>
      <w:tabs>
        <w:tab w:val="center" w:pos="4680"/>
        <w:tab w:val="right" w:pos="9360"/>
      </w:tabs>
      <w:spacing w:after="0" w:line="240" w:lineRule="auto"/>
    </w:pPr>
  </w:style>
  <w:style w:type="character" w:customStyle="1" w:styleId="utrangChar">
    <w:name w:val="Đầu trang Char"/>
    <w:basedOn w:val="Phngmcinhcuaoanvn"/>
    <w:link w:val="utrang"/>
    <w:uiPriority w:val="99"/>
    <w:rsid w:val="003A406D"/>
    <w:rPr>
      <w:rFonts w:ascii="Times New Roman" w:eastAsia="Calibri" w:hAnsi="Times New Roman" w:cs="Times New Roman"/>
      <w:sz w:val="28"/>
    </w:rPr>
  </w:style>
  <w:style w:type="paragraph" w:styleId="Chntrang">
    <w:name w:val="footer"/>
    <w:basedOn w:val="Binhthng"/>
    <w:link w:val="ChntrangChar"/>
    <w:uiPriority w:val="99"/>
    <w:unhideWhenUsed/>
    <w:rsid w:val="003A406D"/>
    <w:pPr>
      <w:tabs>
        <w:tab w:val="center" w:pos="4680"/>
        <w:tab w:val="right" w:pos="9360"/>
      </w:tabs>
      <w:spacing w:after="0" w:line="240" w:lineRule="auto"/>
    </w:pPr>
  </w:style>
  <w:style w:type="character" w:customStyle="1" w:styleId="ChntrangChar">
    <w:name w:val="Chân trang Char"/>
    <w:basedOn w:val="Phngmcinhcuaoanvn"/>
    <w:link w:val="Chntrang"/>
    <w:uiPriority w:val="99"/>
    <w:rsid w:val="003A406D"/>
    <w:rPr>
      <w:rFonts w:ascii="Times New Roman" w:eastAsia="Calibri"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590</Words>
  <Characters>3363</Characters>
  <Application>Microsoft Office Word</Application>
  <DocSecurity>0</DocSecurity>
  <Lines>28</Lines>
  <Paragraphs>7</Paragraphs>
  <ScaleCrop>false</ScaleCrop>
  <HeadingPairs>
    <vt:vector size="2" baseType="variant">
      <vt:variant>
        <vt:lpstr>Tiêu đề</vt:lpstr>
      </vt:variant>
      <vt:variant>
        <vt:i4>1</vt:i4>
      </vt:variant>
    </vt:vector>
  </HeadingPairs>
  <TitlesOfParts>
    <vt:vector size="1" baseType="lpstr">
      <vt:lpstr/>
    </vt:vector>
  </TitlesOfParts>
  <Company/>
  <LinksUpToDate>false</LinksUpToDate>
  <CharactersWithSpaces>3946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2018-06-18T01:24:00Z</dcterms:created>
  <dcterms:modified xsi:type="dcterms:W3CDTF">2018-06-18T05:16:00Z</dcterms:modified>
</cp:coreProperties>
</file>